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1F982E50" w:rsidR="00F74017" w:rsidRPr="00C06F63" w:rsidRDefault="00F74017" w:rsidP="009F5FAF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C06F63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C06F63" w:rsidRPr="00C06F63">
        <w:rPr>
          <w:rFonts w:ascii="Arial" w:eastAsia="Times New Roman" w:hAnsi="Arial" w:cs="Arial"/>
          <w:b/>
          <w:bCs/>
          <w:sz w:val="20"/>
          <w:szCs w:val="20"/>
        </w:rPr>
        <w:t>Výměna venkovního osvětlení areálů SUS PK: Část 3 - Pardubicko</w:t>
      </w:r>
      <w:r w:rsidRPr="00C06F63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761DE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422A"/>
    <w:rsid w:val="009969B9"/>
    <w:rsid w:val="009B366A"/>
    <w:rsid w:val="009F5CDA"/>
    <w:rsid w:val="009F5FAF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06F63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F5F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F5FA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2024-08-15T21:31:00Z</dcterms:created>
  <dcterms:modified xsi:type="dcterms:W3CDTF">2025-09-23T11:05:00Z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